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Varga Géza Ferenc (1950, Dombóvár – 2002, Szolnok) munkássága</w:t>
      </w:r>
    </w:p>
    <w:p>
      <w:pPr>
        <w:pStyle w:val="Normal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Dombóváron született. Iskoláit szülővárosában és Pécsett végezte. Autodidakta művész, mindössze egy évet jár földrajz-rajz tanári szakra. Kezdetben fest és grafikákat készít, így szerezve megbecsülést pályája korai éveiben szülővárosában. Plasztikával 1975-76 körül kezd foglalkozni. Eleinte mintáz, később áttér a faragásra. 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1978 és 1980 között a Tolna Megyei Tanács ösztöndíjasa, ekkoriban már Szekszárdon és Dombóváron is csoportos tárlatok résztvevője.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Az 1970-es évek végén Budapesten is szerencsét próbál, felveszik a Fiatal Képzőművészek Stúdiójába, az 1982-es Stúdió Kiállításon már díjat is kap. Az 1983-as év hozza el számára az első egyéni kiállításokat (Fiatal Művészek Klubja, Vas utcai szoborkert). Ugyanebben az évben együtt dolgozik Nagyatádon, a faszobrász művésztelepen Samu Gézával (1947-1990) és Orosz Péterrel (1951-2015). 1983-tól a Művészeti Alap, majd később a Magyar Képzőművészek és Iparművészek Szövetségének tagja.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1984-től 1988-ig a Nagyatádi Alkotótelep vezetője. Ezután Budapestre költözik, a Lehel úti Kollektív Műterembe, ahol a későbbi Fáskör tagjaival (Huber Andrással, Orosz Péterrel és Samu Gézával) dolgozik együtt.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Az 1990-es évek elején – az egyéni kiállítások mellett – egymást követik a fáskörös kiállításai.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Művészetét díjakkal is elismerik: az Országos Szobrászati kiállítás díját kapja meg 1986-ban, 1987-ben és 1990-ben Salgótarjánban, az Országos Szobrászati Biennálé díját pedig 1992-ben, 1994-ben és 1996-ban Nagyatádon.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Az 1980-as évektől datálódik az életműben fontos szerepet betöltő köztéri és szimpozion munkássága, ami tíz országra és négy földrészre is kiterjed.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</w:rPr>
        <w:t>Kozák Csaba (művészeti író, kiállításrendező):</w:t>
      </w:r>
      <w:r>
        <w:rPr>
          <w:rFonts w:ascii="Times New Roman" w:hAnsi="Times New Roman"/>
          <w:b/>
          <w:bCs/>
        </w:rPr>
        <w:t xml:space="preserve"> Varga Géza Ferenc művészetéről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  <w:shd w:fill="0074E8" w:val="clear"/>
        </w:rPr>
        <w:br/>
      </w:r>
      <w:r>
        <w:rPr>
          <w:rFonts w:ascii="Times New Roman" w:hAnsi="Times New Roman"/>
        </w:rPr>
        <w:t xml:space="preserve">Varga Géza Ferenc (1950-2002) szobrászművész már nem élhette meg a párizsi Magyar Kulturális Intézetben nyáron rendezett „Fáskör” kiállítást, ahogy nem szelektálhatott a Fregatt Galériában bemutatott grafikai tárlatára sem. Franciaországban munkái Huber András, Orosz Péterés Samu Géza (1947-1990) művei társaságában voltak bemutatva. A kiállítás sikerét jelzi, hogy ugyanezt az anyagot - kisplasztikákat, szobrokat, installációt - a stuttgarti társintézet idén ősszel szerepelteti kulturális ajánlatában. A Fregattban Varga életművének olyan szeletét láthattuk - Nagy Gábor Mihály válogatásában és rendezésében -, amit ritkán osztott meg a szakmával, barátaival. A kiállításon közel három tucatnyi grafika szerepelt; tusrajzok pár ceruzarajzzal kiegészítve. Sem szignó, sem datálás nem volt rajtuk, holott kész, befejezett munkákat láthattunk. Varga nem tartotta fontosnak aláírni műveit, gondolta, van még ideje erre. Nem volt. Ez a kiállítás még az ő beleegyezésével indult, nem tudhatta, hogy posztumusz lesz. </w:t>
        <w:br/>
        <w:t xml:space="preserve">A fenti két bemutató nagyon szűk, illetve specifikus szeletét adhatta negyedszázados életművének. Az ouvre-nek csak mellékága a grafikák, eredeti rajzok, ugyanakkor tudjuk, hogy nem vázlatokkal állunk szemben, hanem az életműbe tökéletesen illeszkedő anyaggal. Vannak itt szobortervek, installációk előképei, szobrászrajzok, a szobrokkal feleselő, azokat két dimenzióban elmesélő munkák. A történet ugyanaz, mint az életmű legfontosabb vonulatát képviselő kisplasztikák, szobrok, nagyméretű köztéri munkái, installációi, térberendezései, a tájba illeszkedő, a tájjal beszélgető művei esetében. Műtárgyainak, műtárgyegyütteseinek leggyakoribb anyaga a fa volt, de mindenféle természetes anyaggal dolgozott, egyaránt beépítette művészetébe a követ, a gránitot, a márványt. Olyan műveket alkotott, melyek az idővel dacolnak, de tűzből és jégből is létrehozott múlékony műtárgyakat. </w:t>
        <w:br/>
        <w:t xml:space="preserve">Varga alkotói munkásságának alapvető jellemzője a természet-közeliség, az organikus lét saját szobrászi nyelvére való lefordítása és interpretációja, a forma egyéni megfogalmazása. Műveinek közös tulajdonsága, hogy mindig és mindenhol a szerves létre utaló formákkal, motívumokkal dolgozva a „natura morta” anyagait használta fel: teremtőt játszott, életre keltette a kiszáradt fát, letört gallyat, kivágott nádat, földre fekvő bambuszt, állati dögök-tetemek csontjait, halak bőrét, vízpartok mosta követ, ársodorta kókuszdiót, növények kiszáradt termését, húsát vedlett gyümölcsmagot, kérgesedé héját, külső és belső vázpilléreket. A „haláltánc”-ból megtérő anyagok művészetté, szobrokká álltak össze, a „danse macabre” örvénylő körforgása végén plasztikák születtek Varga keze nyomán. </w:t>
      </w:r>
    </w:p>
    <w:p>
      <w:pPr>
        <w:pStyle w:val="Normal"/>
        <w:spacing w:before="0" w:after="420"/>
        <w:rPr/>
      </w:pPr>
      <w:r>
        <w:rPr>
          <w:rFonts w:ascii="Times New Roman" w:hAnsi="Times New Roman"/>
        </w:rPr>
        <w:t xml:space="preserve">A szobrok törzsét-testét, a tömbös formát sokszor feloldotta, valahol elvékonyította, szálkássá-szilánkossá oldotta a masszív anyagot, szinte röptette, szélnek eresztette az alapformát. Szobrai sohasem látott fák reinkarnációi, mesebeli őslények, madarak-halak, az ég és a víz mitikus állatainak költői megidézései. Ezeket a lényeket vagy zárt (kiállító)terekben lebegtette-terelte, vagy pedig az erdő, a rét szabad atmoszférájába komponálta. </w:t>
        <w:br/>
        <w:t xml:space="preserve">Varga formavilága nem idézte az embert, csak az ember egykor volt, vagy valamikor a jövőben megvalósuló környezetét, pontosabban: az ember nélküli környezetet. Ez a hiátus számomra egyértelmű véleménye az ember természetpusztító, környezetromboló tevékenységéről. Egyetlen munkája volt/van, ahol két nagymesterre emlékezik, bár személyesen csak egyikkel dolgozhatott együtt, tudhatta barátjának. A „Csontváry és Samu Géza uraknak szeretettel” című kisplasztikája egyszerre idézi Csontváry hajlongó-táncoló cédrusát és Samu formavilágát, a korai halálba torkolló művészsorsok hitükben tántoríthatatlan, mégis magányos alkotóit. </w:t>
        <w:br/>
        <w:t xml:space="preserve">Vargánál az állati-növényi maradványok, a törzsek, testek, a fosszillák és csontvázak vagy hiteles elemekből építkeztek, vagy szakértőket megtévesztő módon voltak összeállítva. Egykori lényekre emlékeztettek és új teremtményeket hozott létre. Van, ahol természethűen épült a csontváz, a borda, a gerincoszlop, a medence. Van, ahol DNS-spirálként kanyargóit, azonosíthatatlan repülő-úszó tárgyakká redukálódott. A lapocka, a kopoltyú, a halbőr és a többi elem mind-mind csak ürügy volt, melyből egyfajta „dream land”, gyermekkori mesevilágunk támadt fel. Nála minden csontjáig lecsupaszított, meztelenségében kiszolgáltatott, ismeretlen partokra kivetett. Holtakat idéző, és mégis: örökkön a létet igenlő. Vargánál nagy, szárnyas hajók úsztak az égen, delta-szárnyú repülők zúgtak a vízfodrok alatt, és Noé bárkája partot ért, mert Varga világában minden megtörténhetett. </w:t>
        <w:br/>
        <w:t xml:space="preserve">Varga Géza művészete sohasem volt nárcisztikus, magamutogató - bár mindent lecsupaszított és kitakart hanem felelősséggel bíróan tudott beszélni az ember és a természet kapcsolatáról. Varga nem másolt, hanem teremtett, nem modellált, hanem alkotott. Az ő világa egyedi és hiteles. Ő valamit megértett a nagy körforgásból, művészete pedig tananyag lehet. Ehhez viszont egy, a teljes életművet méltató könyvre van szükség és az ouvre-t részleteiben is bemutató kiállításra. </w:t>
        <w:br/>
        <w:t xml:space="preserve">Ez a szakma felelőssége. </w:t>
      </w:r>
    </w:p>
    <w:p>
      <w:pPr>
        <w:pStyle w:val="Normal"/>
        <w:spacing w:before="0" w:after="420"/>
        <w:rPr/>
      </w:pPr>
      <w:r>
        <w:rPr>
          <w:rFonts w:ascii="Times New Roman" w:hAnsi="Times New Roman"/>
        </w:rPr>
        <w:t>(Megjelent: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Életünk, 2003./4.szám/Műmelléklet/szerző: Kozák Csaba)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b/>
          <w:b/>
        </w:rPr>
      </w:pPr>
      <w:r>
        <w:rPr>
          <w:rFonts w:ascii="Times New Roman" w:hAnsi="Times New Roman"/>
          <w:b/>
          <w:bCs/>
        </w:rPr>
        <w:t>Egyéni kiállításai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Szvegtrzs"/>
        <w:numPr>
          <w:ilvl w:val="0"/>
          <w:numId w:val="6"/>
        </w:numPr>
        <w:tabs>
          <w:tab w:val="clear" w:pos="720"/>
          <w:tab w:val="left" w:pos="120" w:leader="none"/>
          <w:tab w:val="left" w:pos="165" w:leader="none"/>
        </w:tabs>
        <w:spacing w:before="0" w:after="0"/>
        <w:ind w:left="0" w:hanging="0"/>
        <w:rPr/>
      </w:pPr>
      <w:r>
        <w:rPr>
          <w:rFonts w:ascii="Times New Roman" w:hAnsi="Times New Roman"/>
          <w:color w:val="202122"/>
        </w:rPr>
        <w:t xml:space="preserve">1983 - Fiatal Művészek Klubja, Budapest; Hal éji éneke, Vas utcai szoborkert, Budapest; Művelődés Háza, Sárospatak (Varga Ágnessel)     </w:t>
      </w:r>
    </w:p>
    <w:p>
      <w:pPr>
        <w:pStyle w:val="Szvegtrzs"/>
        <w:numPr>
          <w:ilvl w:val="0"/>
          <w:numId w:val="6"/>
        </w:numPr>
        <w:tabs>
          <w:tab w:val="clear" w:pos="720"/>
          <w:tab w:val="left" w:pos="120" w:leader="none"/>
          <w:tab w:val="left" w:pos="165" w:leader="none"/>
        </w:tabs>
        <w:spacing w:before="0" w:after="0"/>
        <w:ind w:left="0" w:hanging="0"/>
        <w:rPr/>
      </w:pPr>
      <w:r>
        <w:rPr>
          <w:rFonts w:ascii="Times New Roman" w:hAnsi="Times New Roman"/>
          <w:color w:val="202122"/>
        </w:rPr>
        <w:t>1984 - Horváth Endre Galéria, Balassagyarmat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1985 - Aktiv Galerie, Drosendorf, Stúdió Galéria, Budapest; Helyőrségi Művelődési Otthon, Nagyatád; Kossuth Lajos Tudományegyetem, díszudvar, Debrecen (Farkas Lászlóval és Samu Gézával)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1987 - EGIS Gyógyszertár, aula, Budapest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1988 - Rippl-Rónai Múzeum, Kaposvár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1989 - Művelődési Központ, Lenti; Babits Mihály Művelődési Központ, Szekszárd; Duna Galéria, Budapest (Huber Andrással, Orosz Péterrel és Samu Gézával)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 xml:space="preserve">1990 - Hotel Solar, Nagyatád  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1991- Természetmítoszok a képzőművészetben I. Samu Géza és a Fáskör, A Fáskör (Huber Andrással, Orosz Péterrel és Samu Gézával) Budatétényi Galéria, Budapest; Fáskör, Műcsarnok, Győr; Hal éji éneke, Művelődési Központ, Dombóvár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1992 -Természetmítoszok (Farkas Lászlóval, Huber Andrással, Orosz Péterrel és Samu Gézával), Csepel Galéria, Budapest; Galerie Simon, Altenahr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1993 - Vigadó Galéria, Budapest (Huber Andrással és Orosz Péterrel); Fiatal Művészek Klubja, Budapest (Orosz Péterrel)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1994 - Eve Art Galéria, Budapest; Pécsi Kisgaléria, Pécs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1995 - V. A. M. Design Center, Budapest; Budapest Galéria Lajos utcai Kiállítóháza, Budapest (Sakari Matinlaurival); Salamon Torony, Visegrád (Huber Andrással és Orosz Péterrel); Árpád vezér Gimnázium, Sárospatak (Orosz Péterrel); Művelődési Központ, Dombóvár (Orosz Péterrel)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1996 - A Fáskör utolsó kiállítása (Huber Andrással és Orosz Péterrel), Rippl-Rónai Múzeum, Kaposvár; Táltos Klub, Budapest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 xml:space="preserve">1997 - Morf (Orosz Péterrel, Farkas Lászlóval), Gödöllői Galéria, Gödöllő 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1998 - Visuaalinen Keskus, Oulu (Colin Fosterrel)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1999 - Pro Puu Galleria, Lahti (Colin Fosterrel és Sakari Matinlaurival)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 xml:space="preserve">2001 - A Fáskör (Huber Andrással, Orosz Péterrel és Samu Gézával), Művészetek Háza, Szekszárd 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2002 - Fregatt Art Galery, Budapest; Fáskör (Huber Andrással, Orosz Péterrel és Samu Gézával), Magyar Intézet, Párizs; Varga Géza úrnak, szeretettel, Dombóvári Művelődési Ház, Dombóvár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2005 - In memoriam Varga Géza Ferenc, Dombóvári Művelődési Ház, Dombóvár</w:t>
      </w:r>
    </w:p>
    <w:p>
      <w:pPr>
        <w:pStyle w:val="Szvegtrzs"/>
        <w:numPr>
          <w:ilvl w:val="0"/>
          <w:numId w:val="3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2012 - Emlékképek, Dombóvári Művelődési Ház, Dombóvár</w:t>
      </w:r>
    </w:p>
    <w:p>
      <w:pPr>
        <w:pStyle w:val="Szvegtrzs"/>
        <w:spacing w:before="0" w:after="0"/>
        <w:rPr>
          <w:color w:val="202122"/>
        </w:rPr>
      </w:pPr>
      <w:r>
        <w:rPr>
          <w:color w:val="202122"/>
        </w:rPr>
      </w:r>
    </w:p>
    <w:p>
      <w:pPr>
        <w:pStyle w:val="Cmsor3"/>
        <w:numPr>
          <w:ilvl w:val="2"/>
          <w:numId w:val="2"/>
        </w:numPr>
        <w:spacing w:before="0" w:after="0"/>
        <w:rPr>
          <w:rFonts w:ascii="Times New Roman" w:hAnsi="Times New Roman"/>
          <w:sz w:val="24"/>
          <w:szCs w:val="24"/>
        </w:rPr>
      </w:pPr>
      <w:bookmarkStart w:id="0" w:name="Válogatott_csoportos_kiállítások"/>
      <w:bookmarkEnd w:id="0"/>
      <w:r>
        <w:rPr>
          <w:rFonts w:ascii="Times New Roman" w:hAnsi="Times New Roman"/>
          <w:color w:val="000000"/>
          <w:sz w:val="24"/>
          <w:szCs w:val="24"/>
        </w:rPr>
        <w:t>Válogatott csoportos kiállítások</w:t>
      </w:r>
    </w:p>
    <w:p>
      <w:pPr>
        <w:pStyle w:val="Szvegtrzs"/>
        <w:spacing w:before="0" w:after="0"/>
        <w:rPr>
          <w:color w:val="54595D"/>
        </w:rPr>
      </w:pPr>
      <w:r>
        <w:rPr>
          <w:color w:val="54595D"/>
        </w:rPr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1982 - Stúdió ’82, Műcsarnok, Budapest; A Fiatal Képzőművészek Stúdiójának kollázs kiállítása, Vajda Lajos Stúdió, Szentendre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 xml:space="preserve">1984 - Stúdió ’84, Ernst Múzeum, Budapest 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1985 - IX. Országos Kisplasztikai Biennálé, Pécs; I. Országos Faszobrászati Kiállítás, Nagyatád; Stúdió ’85, Ernst Múzeum, Budapest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1986 - VI. Szabadtéri Szoborkiállítás, Salgótarján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1987 - XVII. Szabadtéri Szoborkiállítás, Salgótarján; Dél-Dunántúli Tárlat, Kaposvár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1988 - II. Országos Faszobrászati Triennálé, Nagyatád; Tavaszi Tárlat, Műcsarnok, Budapest; Somogy Megyei Tárlat, Kaposvár; Nemzetközi Művészeti Találkozó, Moszkva; XVIII. Szabadtéri Szoborkiállítás, Salgótarján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1989 - Nyári Tárlat, Békéscsaba; Téli Tárlat, Műcsarnok, Budapest; VII. Országos Éremművészeti Biennálé, Lábasház, Sopron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1990 - XX. Szabadtéri Szoborkiállítás, Salgótarján; Universitdad Autonoma de Barcelona, Barcelona; Debreceni Nyári Tárlat, Debrecen; I. Országos Szobrászrajz Biennálé, Budapest; Ungarsk samtidskunst, Galleriet Senterseiskapet, Bergen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1991 - VIII. Országos Éremművészeti Biennálé, Lábasház, Sopron; XII. Országos Kisplasztikai Biennálé, Pécs; Debreceni Nyári Tárlat, Debrecen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1992 - XXII. Szabadtéri Szoborkiállítás, Salgótarján; III. Országos Faszobrászati Kiállítás, Nagyatád; II. Nemzetközi Szobrászrajz Biennálé, Budapest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1993 - XIII. Országos Kisplasztikai Biennálé, Pécs; VII. Szolnoki Képzőművészeti Triennálé, Szolnok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1994 - III. Nemzetközi Szobrászrajz Biennálé, Budapest; IV. Országos Faszobrászati Kiállítás, Nagyatád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1995 - XIII. Országos Kisplasztikai Biennálé, Pécs; Helyzetkép/Magyar szobrászat, Műcsarnok, Budapest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color w:val="202122"/>
        </w:rPr>
        <w:t>1996 - XXVI. Szabadtéri Szoborkiállítás, Salgótarján; IV. Nemzetközi Szobrászrajz Biennálé, Budapest; V. Országos Faszobrászati Kiállítás, Nagyatád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1997 - Magyar Szalon, Műcsarnok, Budapest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2000 - Szobrok 2000, Szt. Kristóf Jazz Galéria, Budapest; Ugriculture 2000: suomalais-ugrilaisten kansojen nykytaiteet, Gallen-Kallelan Museo, Espoo</w:t>
      </w:r>
    </w:p>
    <w:p>
      <w:pPr>
        <w:pStyle w:val="Szvegtrzs"/>
        <w:numPr>
          <w:ilvl w:val="0"/>
          <w:numId w:val="4"/>
        </w:numPr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  <w:t>2001 - Ugriculture 2000: suomalais-ugrilaisten kansojen nykytaiteet, Lönnströmin Taidemuseo, Rauma;  Ugriculture 2000: suomalais-ugrilaisten kansojen nykytaiteet, Riihimaen Taidemuseo, Riihimaki; Szobrászaton innen és túl, Műcsarnok, Budapest</w:t>
      </w:r>
    </w:p>
    <w:p>
      <w:pPr>
        <w:pStyle w:val="Szvegtrzs"/>
        <w:tabs>
          <w:tab w:val="clear" w:pos="720"/>
          <w:tab w:val="left" w:pos="0" w:leader="none"/>
        </w:tabs>
        <w:spacing w:before="0" w:after="0"/>
        <w:rPr>
          <w:rFonts w:ascii="Times New Roman" w:hAnsi="Times New Roman"/>
          <w:color w:val="202122"/>
        </w:rPr>
      </w:pPr>
      <w:r>
        <w:rPr>
          <w:rFonts w:ascii="Times New Roman" w:hAnsi="Times New Roman"/>
          <w:color w:val="202122"/>
        </w:rPr>
      </w:r>
    </w:p>
    <w:p>
      <w:pPr>
        <w:pStyle w:val="Szvegtrzs"/>
        <w:spacing w:before="0" w:after="0"/>
        <w:rPr>
          <w:rFonts w:ascii="Times New Roman" w:hAnsi="Times New Roman"/>
          <w:sz w:val="28"/>
          <w:szCs w:val="28"/>
        </w:rPr>
      </w:pPr>
      <w:r>
        <w:rPr>
          <w:rStyle w:val="IntenseEmphasis"/>
          <w:rFonts w:ascii="Times New Roman" w:hAnsi="Times New Roman"/>
          <w:color w:val="000000"/>
          <w:szCs w:val="28"/>
        </w:rPr>
        <w:t>Köztéri művei</w:t>
      </w:r>
    </w:p>
    <w:p>
      <w:pPr>
        <w:pStyle w:val="Szvegtrzs"/>
        <w:spacing w:before="0" w:after="0"/>
        <w:rPr>
          <w:rStyle w:val="IntenseEmphasis"/>
          <w:rFonts w:ascii="Roboto Slab;Georgia;Times New R" w:hAnsi="Roboto Slab;Georgia;Times New R"/>
          <w:color w:val="000000"/>
        </w:rPr>
      </w:pPr>
      <w:r>
        <w:rPr>
          <w:rFonts w:ascii="Roboto Slab;Georgia;Times New R" w:hAnsi="Roboto Slab;Georgia;Times New R"/>
          <w:color w:val="000000"/>
        </w:rPr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Iguana (fa, 1983, Nagyatád)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0" w:hanging="0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Cím nélkül (kő, 1984, Burgasz, Bulgária)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Madár (fa, 1986, Taszár, repülőtér)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Szélfútta halgerinc (fa, 1988, Lenti)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Élet (fa, 1989, Nagyatád)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Forma (gránit, 1989, Budduso, Olaszország)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Egyszarvú (gránit, 1990, Quagadougou, Burkina Faso)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Csontváry és Samu Géza uraknak tisztelettel (festett fa, 1991, Nagyatád)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Midnight Sun (fa, csont, bambusz, 1992, Kemijarvi, Finnország)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Elágazó utak fája- Honfoglalási emlékmű (fa, bronz, kvarcit, 1996, Nagyatád)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Mándy Iván-síremlék (kő, 1997, Budapest)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Hadnagy Lajos-síremlék (fa, kő, 1998, Budapest)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Kék árbóc (fa, 1998, Zalaegerszeg)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Cím nélkül (kő, 1998, Zacatecas, Mexikó)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Bálvány (kő, 1998, Antalya, Törökország)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Cím nélkül (fa, 1999, Degirmendere, Törökország)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Cím nélkül (kő, 1999, Rachana, Libanon)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Titkos csoda (gránit, mészkő, 2000, Zalaegerszeg)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Cím nélkül (kő, 2000, Cerisy- ja- Forét, Franciaország)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Noénak Tisztelettel (gránit, 2000, Guilin, Kína)</w:t>
      </w:r>
    </w:p>
    <w:p>
      <w:pPr>
        <w:pStyle w:val="Szvegtrzs"/>
        <w:numPr>
          <w:ilvl w:val="0"/>
          <w:numId w:val="5"/>
        </w:numPr>
        <w:tabs>
          <w:tab w:val="clear" w:pos="720"/>
          <w:tab w:val="left" w:pos="450" w:leader="none"/>
        </w:tabs>
        <w:spacing w:before="0" w:after="165"/>
        <w:ind w:left="57" w:hanging="57"/>
        <w:jc w:val="both"/>
        <w:rPr/>
      </w:pPr>
      <w:r>
        <w:rPr>
          <w:rStyle w:val="Hangslyozs"/>
          <w:rFonts w:ascii="Times New Roman" w:hAnsi="Times New Roman"/>
          <w:i w:val="false"/>
          <w:color w:val="000000"/>
        </w:rPr>
        <w:t>Hajó (márvány, 2001, La Norma, Franciaország)</w:t>
      </w:r>
    </w:p>
    <w:p>
      <w:pPr>
        <w:pStyle w:val="Normal"/>
        <w:spacing w:before="0" w:after="420"/>
        <w:rPr>
          <w:i/>
          <w:i/>
          <w:iCs/>
        </w:rPr>
      </w:pPr>
      <w:r>
        <w:rPr>
          <w:rFonts w:ascii="Times New Roman" w:hAnsi="Times New Roman"/>
          <w:i/>
          <w:iCs/>
          <w:color w:val="1C1E21"/>
        </w:rPr>
        <w:t xml:space="preserve">Varga Géza Ferenc sajátos művészi utat járt be. </w:t>
        <w:br/>
        <w:t xml:space="preserve">Leginkább madárszárnyakra, csontokra, halgerincekre emlékeztető plasztikákat, ágas-bogas fákat idéző szobrokat, liánokat készített. Kifejezésmódjára – melyre hatott az afrikai művészet, az aprólékos-gondos megmunkálás – az organikus szemlélet a jellemző. </w:t>
      </w:r>
      <w:r>
        <w:rPr>
          <w:rFonts w:ascii="Times New Roman" w:hAnsi="Times New Roman"/>
          <w:i/>
          <w:iCs/>
        </w:rPr>
        <w:t xml:space="preserve">Plasztikái a múlt század 80-as 90-es évei magyarországi természetművészetének meghatározó munkái. Ars poeticája szerint a szobrászat nem cél, csupán eszköz – maga az alkotás folyamata – a világmindenség megértéséhez. </w:t>
      </w:r>
      <w:r>
        <w:rPr>
          <w:rFonts w:ascii="Times New Roman" w:hAnsi="Times New Roman"/>
          <w:i/>
          <w:iCs/>
          <w:color w:val="000000"/>
        </w:rPr>
        <w:t>Számára a szobrok a teremtő energiákkal való találkozást, a térfoglaló ember konstruktív meditációját jelentették.</w:t>
      </w:r>
    </w:p>
    <w:p>
      <w:pPr>
        <w:pStyle w:val="Normal"/>
        <w:spacing w:before="0" w:after="420"/>
        <w:rPr>
          <w:rFonts w:ascii="Times New Roman" w:hAnsi="Times New Roman"/>
          <w:b/>
          <w:b/>
          <w:color w:val="1C1E21"/>
        </w:rPr>
      </w:pPr>
      <w:r>
        <w:rPr>
          <w:rFonts w:ascii="Times New Roman" w:hAnsi="Times New Roman"/>
          <w:b/>
          <w:color w:val="1C1E21"/>
        </w:rPr>
        <w:t>Dr. Balipap Ferenc - (1948-2013) szociológus, szociálpolitikus, népművelő, közösségfejlesztő, 1977-től 1991-ig a Dombóvári Művelődési Központ és Könyvtár igazgatója - sorai (Varga Géza Ferenc temetésén, 2002-ben hangzottak el) - részletek -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>".......Varga Gézával hány évünk, napunk, életünk volt együtt, egyfelé törekedve, egymást segítve, ösztönözve, féltve! Most dekoratőr kell az új művházba, Géza, gyere. S Te jöttél. Most Samu Géza készülő szobrához, most Makovecz Tokaji jurtájához, most Pipó szoboszlói tárlatához, most valamelyik faluban egy ünnepi kiállításhoz kell a kezed, a szemed, a fantáziád, az erőd – Géza, gyere! Most fogd meg, vedd át Balázs Pistától a hegedűt, a művház avatása van, játssz valamit, hiszen sok robotunkban ez a nap nekünk igazi ünnep. Most be kell paravánozni a Vastert, most Kós 100 éves születésnapját üli nálunk a haza szellemi kiválóságainak serege, rendezd be hozzá a termet. Most filmszemle lesz, szitázz egy csomó plakátot; Parais Pistáék táncos találkozójára húzd fel birgeri csizmád, verj rá egy legényest a csizmaszárra, táncolj, és ülj le asztalunkhoz, Fenyvesi Béla, Marczali, Nyers Magdi meg a többiek mind szívesen adunk helyet neked, a mindig segítőkész kollegának. A munkáddal, a rád jutó feladatok elvégzésével, s persze a személyiségeddel, a jellegzetes Varga uras emberi figuráddal, gesztusaiddal - mindig és mindenütt közénk tartozol.</w:t>
        <w:br/>
        <w:t>...</w:t>
        <w:br/>
        <w:t>A művelődési központ első éveinek sikerei elképzelhetetlenek nélküle. S hogy többre képes, mint amit itt el kellett végeznie, azt későbbi életével, munkásságával fényesen bizonyította: Samu Géza majd Kő Pál és a többiek barátságának csillagvonzásába kerülve szobrásszá, szobrászművésszé vált maga is. Kizárólag önerejéből kiemelkedett abból a dombóvári világból, amelyik nem igazán emelte – föl sem igen ismerte – tehetségeit. Varga Géza egész életén át emelkedett, egyre magasabbra állította maga számára a célt, s egyre magasabbra jutott.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 xml:space="preserve">Sok országot bejárt, ismerkedett és bemutatkozott. Jó pár hónapja, egy alkotó-táborból Kínából tért haza. 2000 szilveszterén Bázelből küldött telefonos üdvözletet. S jelezte, jóféle francia vörösborokkal érkezik. Múlt ősszel nagy halom fényképpel jött, hogy Samu Gézáról készítsünk egy emlékalbumot. Pécsváradon az ő keze-munkájával állt össze a Samu emlékmúzeum. Farkas János egyetlen szavára mindig jött és segített. Egyszer közbenjárásomat kérte, hogy a Gyulaji erdőből szerezzünk egy teherautónyi rőzsét, valahol egy kiállításhoz kellett. Pár éve stílfűrésszel állított be hozzánk, hogy elburjánzott fáimat lenyesse. Egy öreg barack s egy vén körte törzséből félretettünk egy-egy rönköt, ezekből majd szobrot készít. “ 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 xml:space="preserve">Felhasznált irodalom: 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>Kertész László: Varga Géza Ferenc (Magyar Napló, Írott szó Alapítvány, Budapest 2015.)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</w:rPr>
        <w:t>Kozák Csaba: V</w:t>
      </w:r>
      <w:r>
        <w:rPr>
          <w:rFonts w:ascii="Times New Roman" w:hAnsi="Times New Roman"/>
          <w:color w:val="1C1E21"/>
        </w:rPr>
        <w:t>arga Géza Ferenc művészetéről (Életünk, 200</w:t>
      </w:r>
      <w:r>
        <w:rPr>
          <w:rFonts w:ascii="Times New Roman" w:hAnsi="Times New Roman"/>
        </w:rPr>
        <w:t>3./4. szám/Műmelléklet)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</w:rPr>
        <w:t>Varga Géza Ferenc szobrai (katalógus, Pécs, Kisgaléria)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>Takács Istvánné: Arcok Dombóvárról (Dombóvári Városszépítő Egyesület, helytörténeti sorozat 4., Dombóvár, 2000.)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>Wiedmer-Balipap Zsuzsa: Varga Géza Ferenc 70 (Facebook)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3500" cy="7391400"/>
            <wp:effectExtent l="0" t="0" r="0" b="0"/>
            <wp:wrapSquare wrapText="largest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50155" cy="3471545"/>
            <wp:effectExtent l="0" t="0" r="0" b="0"/>
            <wp:wrapSquare wrapText="largest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ab/>
        <w:tab/>
      </w:r>
      <w:r>
        <w:rPr>
          <w:rFonts w:ascii="Times New Roman" w:hAnsi="Times New Roman"/>
          <w:color w:val="1C1E21"/>
          <w:sz w:val="28"/>
          <w:szCs w:val="28"/>
        </w:rPr>
        <w:t>Részlet a Vas utcai szoborkertben rendezett kiállításról (1983)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53640" cy="3630295"/>
            <wp:effectExtent l="0" t="0" r="0" b="0"/>
            <wp:wrapSquare wrapText="largest"/>
            <wp:docPr id="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jc w:val="center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  <w:sz w:val="28"/>
          <w:szCs w:val="28"/>
        </w:rPr>
        <w:t>Részlet a Vas utcai szoborkertben rendezett kiállításról (1983)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26335" cy="3474720"/>
            <wp:effectExtent l="0" t="0" r="0" b="0"/>
            <wp:wrapSquare wrapText="largest"/>
            <wp:docPr id="4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ab/>
        <w:tab/>
        <w:tab/>
      </w:r>
      <w:r>
        <w:rPr>
          <w:rFonts w:ascii="Times New Roman" w:hAnsi="Times New Roman"/>
          <w:color w:val="1C1E21"/>
          <w:sz w:val="28"/>
          <w:szCs w:val="28"/>
        </w:rPr>
        <w:tab/>
        <w:t xml:space="preserve">   Növekedés, 1990-es évek eleje 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68880" cy="3605530"/>
            <wp:effectExtent l="0" t="0" r="0" b="0"/>
            <wp:wrapSquare wrapText="largest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tab/>
        <w:tab/>
        <w:tab/>
        <w:tab/>
        <w:tab/>
      </w:r>
      <w:r>
        <w:rPr>
          <w:rFonts w:ascii="Times New Roman" w:hAnsi="Times New Roman"/>
          <w:color w:val="1C1E21"/>
          <w:sz w:val="28"/>
          <w:szCs w:val="28"/>
        </w:rPr>
        <w:t xml:space="preserve">  Villámisten (1994)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69535" cy="7501255"/>
            <wp:effectExtent l="0" t="0" r="0" b="0"/>
            <wp:wrapSquare wrapText="largest"/>
            <wp:docPr id="6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0275" cy="8572500"/>
            <wp:effectExtent l="0" t="0" r="0" b="0"/>
            <wp:wrapSquare wrapText="largest"/>
            <wp:docPr id="7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</w:rPr>
        <w:tab/>
      </w:r>
      <w:r>
        <w:rPr>
          <w:rFonts w:ascii="Times New Roman" w:hAnsi="Times New Roman"/>
          <w:color w:val="1C1E21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color w:val="1C1E21"/>
          <w:sz w:val="28"/>
          <w:szCs w:val="28"/>
        </w:rPr>
        <w:t>Hajó, La Norma (Franciaország) 2001.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96410"/>
            <wp:effectExtent l="0" t="0" r="0" b="0"/>
            <wp:wrapSquare wrapText="largest"/>
            <wp:docPr id="8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16625" cy="7040880"/>
            <wp:effectExtent l="0" t="0" r="0" b="0"/>
            <wp:wrapSquare wrapText="largest"/>
            <wp:docPr id="9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818245"/>
            <wp:effectExtent l="0" t="0" r="0" b="0"/>
            <wp:wrapSquare wrapText="largest"/>
            <wp:docPr id="10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57" w:after="249"/>
        <w:rPr>
          <w:rFonts w:ascii="Times New Roman" w:hAnsi="Times New Roman"/>
          <w:color w:val="1C1E21"/>
        </w:rPr>
      </w:pPr>
      <w: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96130"/>
            <wp:effectExtent l="0" t="0" r="0" b="0"/>
            <wp:wrapSquare wrapText="largest"/>
            <wp:docPr id="11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</w:rPr>
        <w:tab/>
      </w:r>
      <w:r>
        <w:rPr>
          <w:rFonts w:ascii="Times New Roman" w:hAnsi="Times New Roman"/>
          <w:color w:val="1C1E21"/>
        </w:rPr>
        <w:tab/>
        <w:tab/>
        <w:tab/>
        <w:tab/>
      </w:r>
      <w:r>
        <w:rPr>
          <w:rFonts w:ascii="Times New Roman" w:hAnsi="Times New Roman"/>
          <w:color w:val="1C1E21"/>
          <w:sz w:val="32"/>
          <w:szCs w:val="32"/>
        </w:rPr>
        <w:t>(1996)</w:t>
      </w:r>
      <w:r>
        <w:rPr>
          <w:rFonts w:ascii="Times New Roman" w:hAnsi="Times New Roman"/>
          <w:color w:val="1C1E21"/>
        </w:rPr>
        <w:tab/>
        <w:tab/>
        <w:tab/>
        <w:tab/>
        <w:tab/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553200"/>
            <wp:effectExtent l="0" t="0" r="0" b="0"/>
            <wp:wrapSquare wrapText="largest"/>
            <wp:docPr id="12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</w:rPr>
        <w:tab/>
      </w:r>
      <w:r>
        <w:rPr>
          <w:rFonts w:ascii="Times New Roman" w:hAnsi="Times New Roman"/>
          <w:color w:val="1C1E21"/>
        </w:rPr>
        <w:tab/>
        <w:tab/>
        <w:tab/>
        <w:tab/>
        <w:tab/>
      </w:r>
      <w:r>
        <w:rPr>
          <w:rFonts w:ascii="Times New Roman" w:hAnsi="Times New Roman"/>
          <w:color w:val="1C1E21"/>
          <w:sz w:val="32"/>
          <w:szCs w:val="32"/>
        </w:rPr>
        <w:t>(1997)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3430"/>
            <wp:effectExtent l="0" t="0" r="0" b="0"/>
            <wp:wrapSquare wrapText="largest"/>
            <wp:docPr id="13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</w:rPr>
        <w:tab/>
      </w:r>
      <w:r>
        <w:rPr>
          <w:rFonts w:ascii="Times New Roman" w:hAnsi="Times New Roman"/>
          <w:color w:val="1C1E21"/>
        </w:rPr>
        <w:tab/>
        <w:tab/>
        <w:tab/>
        <w:tab/>
      </w:r>
      <w:r>
        <w:rPr>
          <w:rFonts w:ascii="Times New Roman" w:hAnsi="Times New Roman"/>
          <w:color w:val="1C1E21"/>
          <w:sz w:val="32"/>
          <w:szCs w:val="32"/>
        </w:rPr>
        <w:t xml:space="preserve">  (2002)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/>
      </w:pPr>
      <w: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05525" cy="6810375"/>
            <wp:effectExtent l="0" t="0" r="0" b="0"/>
            <wp:wrapSquare wrapText="largest"/>
            <wp:docPr id="14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  <w:sz w:val="32"/>
          <w:szCs w:val="32"/>
        </w:rPr>
        <w:t>(</w:t>
      </w:r>
      <w:r>
        <w:rPr>
          <w:rFonts w:ascii="Times New Roman" w:hAnsi="Times New Roman"/>
          <w:color w:val="1C1E21"/>
          <w:sz w:val="32"/>
          <w:szCs w:val="32"/>
        </w:rPr>
        <w:t>2005)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6595110"/>
            <wp:effectExtent l="0" t="0" r="0" b="0"/>
            <wp:wrapSquare wrapText="largest"/>
            <wp:docPr id="15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E21"/>
        </w:rPr>
        <w:tab/>
      </w:r>
      <w:r>
        <w:rPr>
          <w:rFonts w:ascii="Times New Roman" w:hAnsi="Times New Roman"/>
          <w:color w:val="1C1E21"/>
        </w:rPr>
        <w:tab/>
        <w:tab/>
        <w:tab/>
        <w:tab/>
        <w:tab/>
      </w:r>
      <w:r>
        <w:rPr>
          <w:rFonts w:ascii="Times New Roman" w:hAnsi="Times New Roman"/>
          <w:color w:val="1C1E21"/>
          <w:sz w:val="32"/>
          <w:szCs w:val="32"/>
        </w:rPr>
        <w:t>(2010)</w:t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>
          <w:rFonts w:ascii="Times New Roman" w:hAnsi="Times New Roman"/>
          <w:color w:val="1C1E21"/>
        </w:rPr>
      </w:r>
    </w:p>
    <w:p>
      <w:pPr>
        <w:pStyle w:val="Normal"/>
        <w:spacing w:before="0" w:after="420"/>
        <w:rPr>
          <w:rFonts w:ascii="Times New Roman" w:hAnsi="Times New Roman"/>
          <w:color w:val="1C1E21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Roboto Slab">
    <w:altName w:val="Georgia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Cmsor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07"/>
        </w:tabs>
        <w:ind w:left="707" w:firstLine="45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ff0569"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hu-HU" w:eastAsia="zh-CN" w:bidi="hi-IN"/>
    </w:rPr>
  </w:style>
  <w:style w:type="paragraph" w:styleId="Cmsor3" w:customStyle="1">
    <w:name w:val="Heading 3"/>
    <w:basedOn w:val="Cmsor"/>
    <w:next w:val="Szvegtrzs"/>
    <w:qFormat/>
    <w:rsid w:val="00ff0569"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N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ullets" w:customStyle="1">
    <w:name w:val="Bullets"/>
    <w:qFormat/>
    <w:rsid w:val="00ff0569"/>
    <w:rPr>
      <w:rFonts w:ascii="OpenSymbol" w:hAnsi="OpenSymbol" w:eastAsia="OpenSymbol" w:cs="OpenSymbol"/>
      <w:sz w:val="32"/>
      <w:szCs w:val="32"/>
    </w:rPr>
  </w:style>
  <w:style w:type="character" w:styleId="Internethivatkozs" w:customStyle="1">
    <w:name w:val="Internet-hivatkozás"/>
    <w:rsid w:val="00ff0569"/>
    <w:rPr>
      <w:color w:val="000080"/>
      <w:u w:val="single"/>
    </w:rPr>
  </w:style>
  <w:style w:type="character" w:styleId="IntenseEmphasis">
    <w:name w:val="Intense Emphasis"/>
    <w:qFormat/>
    <w:rsid w:val="00ff0569"/>
    <w:rPr>
      <w:b/>
      <w:bCs/>
    </w:rPr>
  </w:style>
  <w:style w:type="character" w:styleId="Hangslyozs" w:customStyle="1">
    <w:name w:val="Hangsúlyozás"/>
    <w:qFormat/>
    <w:rsid w:val="00ff0569"/>
    <w:rPr>
      <w:i/>
      <w:iCs/>
    </w:rPr>
  </w:style>
  <w:style w:type="paragraph" w:styleId="Cmsor" w:customStyle="1">
    <w:name w:val="Címsor"/>
    <w:basedOn w:val="Normal"/>
    <w:next w:val="Szvegtrzs"/>
    <w:qFormat/>
    <w:rsid w:val="00ff0569"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Szvegtrzs">
    <w:name w:val="Body Text"/>
    <w:basedOn w:val="Normal"/>
    <w:rsid w:val="00ff0569"/>
    <w:pPr>
      <w:spacing w:lineRule="auto" w:line="276" w:before="0" w:after="140"/>
    </w:pPr>
    <w:rPr/>
  </w:style>
  <w:style w:type="paragraph" w:styleId="List">
    <w:name w:val="List"/>
    <w:basedOn w:val="Szvegtrzs"/>
    <w:rsid w:val="00ff0569"/>
    <w:pPr/>
    <w:rPr/>
  </w:style>
  <w:style w:type="paragraph" w:styleId="Felirat" w:customStyle="1">
    <w:name w:val="Caption"/>
    <w:basedOn w:val="Normal"/>
    <w:qFormat/>
    <w:rsid w:val="00ff0569"/>
    <w:pPr>
      <w:suppressLineNumbers/>
      <w:spacing w:before="120" w:after="120"/>
    </w:pPr>
    <w:rPr>
      <w:i/>
      <w:iCs/>
    </w:rPr>
  </w:style>
  <w:style w:type="paragraph" w:styleId="Trgymutat" w:customStyle="1">
    <w:name w:val="Tárgymutató"/>
    <w:basedOn w:val="Normal"/>
    <w:qFormat/>
    <w:rsid w:val="00ff0569"/>
    <w:pPr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Application>LibreOffice/7.0.1.2$Windows_x86 LibreOffice_project/7cbcfc562f6eb6708b5ff7d7397325de9e764452</Application>
  <Pages>19</Pages>
  <Words>2139</Words>
  <Characters>14259</Characters>
  <CharactersWithSpaces>16344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2020-11-25T09:40:00Z</dcterms:created>
  <dc:creator/>
  <dc:description/>
  <dc:language>hu-HU</dc:language>
  <cp:lastModifiedBy/>
  <dcterms:modified xsi:type="dcterms:W3CDTF">2021-02-02T11:05:41Z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